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A42" w14:textId="77777777" w:rsidR="00A807C5" w:rsidRDefault="00A807C5" w:rsidP="00A807C5">
      <w:pPr>
        <w:pStyle w:val="Heading1"/>
      </w:pPr>
      <w:r>
        <w:t>RPA 10 Application Process</w:t>
      </w:r>
    </w:p>
    <w:p w14:paraId="6A9C15AA" w14:textId="77777777" w:rsidR="00A807C5" w:rsidRPr="00F71EF6" w:rsidRDefault="00A807C5" w:rsidP="00A807C5">
      <w:r w:rsidRPr="00F71EF6">
        <w:t xml:space="preserve">In a typical year, the application process noted below is used to ensure that </w:t>
      </w:r>
      <w:r>
        <w:t xml:space="preserve">transportation </w:t>
      </w:r>
      <w:r w:rsidRPr="00F71EF6">
        <w:t>needs from throughout the region are met.</w:t>
      </w:r>
      <w:r>
        <w:t xml:space="preserve"> </w:t>
      </w:r>
    </w:p>
    <w:p w14:paraId="00F803BD" w14:textId="77777777" w:rsidR="00A807C5" w:rsidRDefault="00A807C5" w:rsidP="00A807C5"/>
    <w:p w14:paraId="45B41784" w14:textId="77777777" w:rsidR="00A807C5" w:rsidRDefault="00A807C5" w:rsidP="00A807C5">
      <w:pPr>
        <w:pStyle w:val="Heading2"/>
      </w:pPr>
      <w:r w:rsidRPr="00581E55">
        <w:t>Typical Application Process</w:t>
      </w:r>
      <w:r>
        <w:t>es</w:t>
      </w:r>
    </w:p>
    <w:p w14:paraId="28F70317" w14:textId="7C6C4C07" w:rsidR="00A807C5" w:rsidRPr="0039677E" w:rsidRDefault="00A807C5" w:rsidP="00A807C5">
      <w:pPr>
        <w:pStyle w:val="Heading3"/>
      </w:pPr>
      <w:r>
        <w:t xml:space="preserve">STBG </w:t>
      </w:r>
      <w:r w:rsidRPr="0039677E">
        <w:t>Process</w:t>
      </w:r>
    </w:p>
    <w:p w14:paraId="273E4A05" w14:textId="77777777" w:rsidR="00A807C5" w:rsidRPr="00087A82" w:rsidRDefault="00A807C5" w:rsidP="00A807C5">
      <w:pPr>
        <w:rPr>
          <w:szCs w:val="20"/>
        </w:rPr>
      </w:pPr>
      <w:r>
        <w:t>CRDS 2040, the region’s long range transportation plan was approved in 2017. CRDS</w:t>
      </w:r>
      <w:r w:rsidRPr="00087A82">
        <w:t xml:space="preserve"> </w:t>
      </w:r>
      <w:r>
        <w:t xml:space="preserve">2040 </w:t>
      </w:r>
      <w:r w:rsidRPr="00087A82">
        <w:t xml:space="preserve">notes that substantial </w:t>
      </w:r>
      <w:r>
        <w:t xml:space="preserve">transportation infrastructure </w:t>
      </w:r>
      <w:r w:rsidRPr="00087A82">
        <w:t xml:space="preserve">needs exist around the entire region and that funding should be distributed throughout the region to accommodate these needs. </w:t>
      </w:r>
      <w:r>
        <w:t xml:space="preserve">An update to the long range transportation plan is currently underway. Although the plan isn’t complete, the public input process has reiterated the desire for geographic equity of public funding. </w:t>
      </w:r>
      <w:r w:rsidRPr="00087A82">
        <w:t xml:space="preserve">Accordingly, the </w:t>
      </w:r>
      <w:r>
        <w:t>RPA provides STBG funding targets</w:t>
      </w:r>
      <w:r w:rsidRPr="00087A82">
        <w:t xml:space="preserve"> to each of the s</w:t>
      </w:r>
      <w:r>
        <w:t>even</w:t>
      </w:r>
      <w:r w:rsidRPr="00087A82">
        <w:t xml:space="preserve"> counties and three cities with a population greater than 5,000. The</w:t>
      </w:r>
      <w:r>
        <w:t xml:space="preserve"> target</w:t>
      </w:r>
      <w:r w:rsidRPr="00087A82">
        <w:t xml:space="preserve"> amounts to the three cities are based on population. The </w:t>
      </w:r>
      <w:r>
        <w:t>target</w:t>
      </w:r>
      <w:r w:rsidRPr="00087A82">
        <w:t xml:space="preserve"> amounts to the counties are based on the same formula used to distribute Road Use Tax Funds. The following </w:t>
      </w:r>
      <w:r>
        <w:t>targets</w:t>
      </w:r>
      <w:r w:rsidRPr="00087A82">
        <w:t xml:space="preserve"> were provided to the cities and counties during this four-year programming cycle:</w:t>
      </w:r>
    </w:p>
    <w:p w14:paraId="1BAA724B" w14:textId="77777777" w:rsidR="00A807C5" w:rsidRPr="00087A82" w:rsidRDefault="00A807C5" w:rsidP="00A807C5"/>
    <w:p w14:paraId="74EF5DDE" w14:textId="77777777" w:rsidR="00A807C5" w:rsidRPr="00581E55" w:rsidRDefault="00A807C5" w:rsidP="00A807C5">
      <w:pPr>
        <w:rPr>
          <w:u w:val="single"/>
        </w:rPr>
      </w:pPr>
      <w:r w:rsidRPr="00581E55">
        <w:rPr>
          <w:u w:val="single"/>
        </w:rPr>
        <w:t>Cities</w:t>
      </w:r>
    </w:p>
    <w:p w14:paraId="1DF0F773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 xml:space="preserve">Anamosa </w:t>
      </w:r>
      <w:r w:rsidRPr="006749BB">
        <w:rPr>
          <w:color w:val="000000" w:themeColor="text1"/>
        </w:rPr>
        <w:tab/>
        <w:t>$155,921</w:t>
      </w:r>
      <w:r w:rsidRPr="006749BB">
        <w:rPr>
          <w:color w:val="000000" w:themeColor="text1"/>
        </w:rPr>
        <w:tab/>
      </w:r>
    </w:p>
    <w:p w14:paraId="4051BC89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Vinton</w:t>
      </w:r>
      <w:r w:rsidRPr="006749BB">
        <w:rPr>
          <w:color w:val="000000" w:themeColor="text1"/>
        </w:rPr>
        <w:tab/>
      </w:r>
      <w:r w:rsidRPr="006749BB">
        <w:rPr>
          <w:color w:val="000000" w:themeColor="text1"/>
        </w:rPr>
        <w:tab/>
        <w:t>$1,424,969</w:t>
      </w:r>
    </w:p>
    <w:p w14:paraId="1ABAB1BB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Washington</w:t>
      </w:r>
      <w:r w:rsidRPr="006749BB">
        <w:rPr>
          <w:color w:val="000000" w:themeColor="text1"/>
        </w:rPr>
        <w:tab/>
        <w:t>$190,598</w:t>
      </w:r>
    </w:p>
    <w:p w14:paraId="0741243C" w14:textId="77777777" w:rsidR="00A807C5" w:rsidRPr="006749BB" w:rsidRDefault="00A807C5" w:rsidP="00A807C5">
      <w:pPr>
        <w:rPr>
          <w:color w:val="000000" w:themeColor="text1"/>
        </w:rPr>
      </w:pPr>
    </w:p>
    <w:p w14:paraId="6917C858" w14:textId="77777777" w:rsidR="00A807C5" w:rsidRPr="006749BB" w:rsidRDefault="00A807C5" w:rsidP="00A807C5">
      <w:pPr>
        <w:rPr>
          <w:color w:val="000000" w:themeColor="text1"/>
          <w:u w:val="single"/>
        </w:rPr>
      </w:pPr>
      <w:r w:rsidRPr="006749BB">
        <w:rPr>
          <w:color w:val="000000" w:themeColor="text1"/>
          <w:u w:val="single"/>
        </w:rPr>
        <w:t>Counties</w:t>
      </w:r>
    </w:p>
    <w:p w14:paraId="506DBACC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Benton</w:t>
      </w:r>
      <w:r w:rsidRPr="006749BB">
        <w:rPr>
          <w:color w:val="000000" w:themeColor="text1"/>
        </w:rPr>
        <w:tab/>
        <w:t xml:space="preserve"> </w:t>
      </w:r>
      <w:r w:rsidRPr="006749BB">
        <w:rPr>
          <w:color w:val="000000" w:themeColor="text1"/>
        </w:rPr>
        <w:tab/>
        <w:t>$2,577,725</w:t>
      </w:r>
    </w:p>
    <w:p w14:paraId="1CA4145B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Cedar</w:t>
      </w:r>
      <w:r w:rsidRPr="006749BB">
        <w:rPr>
          <w:color w:val="000000" w:themeColor="text1"/>
        </w:rPr>
        <w:tab/>
      </w:r>
      <w:r w:rsidRPr="006749BB">
        <w:rPr>
          <w:color w:val="000000" w:themeColor="text1"/>
        </w:rPr>
        <w:tab/>
        <w:t>$824,631</w:t>
      </w:r>
    </w:p>
    <w:p w14:paraId="5DAD9E47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Iowa</w:t>
      </w:r>
      <w:r w:rsidRPr="006749BB">
        <w:rPr>
          <w:color w:val="000000" w:themeColor="text1"/>
        </w:rPr>
        <w:tab/>
      </w:r>
      <w:r w:rsidRPr="006749BB">
        <w:rPr>
          <w:color w:val="000000" w:themeColor="text1"/>
        </w:rPr>
        <w:tab/>
        <w:t>$0</w:t>
      </w:r>
    </w:p>
    <w:p w14:paraId="689E04F9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Johnson</w:t>
      </w:r>
      <w:r w:rsidRPr="006749BB">
        <w:rPr>
          <w:color w:val="000000" w:themeColor="text1"/>
        </w:rPr>
        <w:tab/>
        <w:t>$0</w:t>
      </w:r>
    </w:p>
    <w:p w14:paraId="1131B5FA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 xml:space="preserve">Jones </w:t>
      </w:r>
      <w:r w:rsidRPr="006749BB">
        <w:rPr>
          <w:color w:val="000000" w:themeColor="text1"/>
        </w:rPr>
        <w:tab/>
      </w:r>
      <w:r w:rsidRPr="006749BB">
        <w:rPr>
          <w:color w:val="000000" w:themeColor="text1"/>
        </w:rPr>
        <w:tab/>
        <w:t>$1,018,716</w:t>
      </w:r>
    </w:p>
    <w:p w14:paraId="3B1EF26A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Linn</w:t>
      </w:r>
      <w:r w:rsidRPr="006749BB">
        <w:rPr>
          <w:color w:val="000000" w:themeColor="text1"/>
        </w:rPr>
        <w:tab/>
        <w:t xml:space="preserve"> </w:t>
      </w:r>
      <w:r w:rsidRPr="006749BB">
        <w:rPr>
          <w:color w:val="000000" w:themeColor="text1"/>
        </w:rPr>
        <w:tab/>
        <w:t>$710,588</w:t>
      </w:r>
    </w:p>
    <w:p w14:paraId="2D46A7FF" w14:textId="77777777" w:rsidR="00A807C5" w:rsidRPr="006749BB" w:rsidRDefault="00A807C5" w:rsidP="00A807C5">
      <w:pPr>
        <w:spacing w:after="0"/>
        <w:rPr>
          <w:color w:val="000000" w:themeColor="text1"/>
        </w:rPr>
      </w:pPr>
      <w:r w:rsidRPr="006749BB">
        <w:rPr>
          <w:color w:val="000000" w:themeColor="text1"/>
        </w:rPr>
        <w:t>Washington</w:t>
      </w:r>
      <w:r w:rsidRPr="006749BB">
        <w:rPr>
          <w:color w:val="000000" w:themeColor="text1"/>
        </w:rPr>
        <w:tab/>
        <w:t xml:space="preserve">$311,332  </w:t>
      </w:r>
    </w:p>
    <w:p w14:paraId="0AA7B32A" w14:textId="77777777" w:rsidR="00A807C5" w:rsidRDefault="00A807C5" w:rsidP="00A807C5"/>
    <w:p w14:paraId="5E90F759" w14:textId="57BD0648" w:rsidR="00A807C5" w:rsidRPr="00317F59" w:rsidRDefault="00A807C5" w:rsidP="00A807C5">
      <w:pPr>
        <w:rPr>
          <w:color w:val="FF0000"/>
        </w:rPr>
      </w:pPr>
      <w:r>
        <w:t>To ensure that all eligible applicants are able to apply, a</w:t>
      </w:r>
      <w:r w:rsidRPr="00483547">
        <w:t xml:space="preserve">pplications are distributed </w:t>
      </w:r>
      <w:r>
        <w:t xml:space="preserve">by ECICOG </w:t>
      </w:r>
      <w:r w:rsidRPr="00483547">
        <w:t xml:space="preserve">to each city and county in the region on </w:t>
      </w:r>
      <w:r>
        <w:t>September</w:t>
      </w:r>
      <w:r w:rsidRPr="00483547">
        <w:t xml:space="preserve"> 1 and due back to ECICOG by December 15.</w:t>
      </w:r>
      <w:r>
        <w:t xml:space="preserve"> All applications must be submitted to ECICOG for review. </w:t>
      </w:r>
      <w:r w:rsidRPr="00483547">
        <w:t xml:space="preserve">Applications from the County Secondary Roads Department and cities within the county are forwarded </w:t>
      </w:r>
      <w:r>
        <w:t xml:space="preserve">by </w:t>
      </w:r>
      <w:r w:rsidRPr="00483547">
        <w:t xml:space="preserve">to the respective County Board of Supervisors for </w:t>
      </w:r>
      <w:r>
        <w:t xml:space="preserve">preliminary </w:t>
      </w:r>
      <w:r w:rsidRPr="00483547">
        <w:t xml:space="preserve">review and </w:t>
      </w:r>
      <w:r>
        <w:t xml:space="preserve">local </w:t>
      </w:r>
      <w:r w:rsidRPr="00483547">
        <w:t xml:space="preserve">prioritization. </w:t>
      </w:r>
      <w:r>
        <w:t>These c</w:t>
      </w:r>
      <w:r w:rsidRPr="00483547">
        <w:t xml:space="preserve">ounty recommendations </w:t>
      </w:r>
      <w:r>
        <w:t xml:space="preserve">and copies of the full applications are </w:t>
      </w:r>
      <w:r w:rsidRPr="00483547">
        <w:t xml:space="preserve">reviewed </w:t>
      </w:r>
      <w:r>
        <w:t xml:space="preserve">for regional prioritization and discussed </w:t>
      </w:r>
      <w:r w:rsidRPr="00483547">
        <w:t>by the TTAC and Policy Committee</w:t>
      </w:r>
      <w:r>
        <w:t>. The Policy Committee is responsible</w:t>
      </w:r>
      <w:r w:rsidRPr="00483547">
        <w:t xml:space="preserve"> for final regional approval.</w:t>
      </w:r>
      <w:r>
        <w:t xml:space="preserve"> If Iowa DOT concurs, approved regional STBG applications will be allowed to “swap” the federal funding for state funding. </w:t>
      </w:r>
    </w:p>
    <w:p w14:paraId="7A6DE7CC" w14:textId="77777777" w:rsidR="00A807C5" w:rsidRPr="002F6BD0" w:rsidRDefault="00A807C5" w:rsidP="00A807C5">
      <w:pPr>
        <w:pStyle w:val="Heading3"/>
      </w:pPr>
      <w:r>
        <w:lastRenderedPageBreak/>
        <w:t>I</w:t>
      </w:r>
      <w:r w:rsidRPr="002F6BD0">
        <w:t>TAP Process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626E79" w14:textId="00444FFB" w:rsidR="00A807C5" w:rsidRPr="00BB41B1" w:rsidRDefault="00A807C5" w:rsidP="00A807C5">
      <w:pPr>
        <w:rPr>
          <w:color w:val="FF0000"/>
        </w:rPr>
      </w:pPr>
      <w:r>
        <w:t>ITAP</w:t>
      </w:r>
      <w:r w:rsidRPr="00483547">
        <w:t xml:space="preserve"> applications are reviewed on a competitive basis</w:t>
      </w:r>
      <w:r>
        <w:t xml:space="preserve">. Typically, applications are distributed to each city and county in the region on September 1 and due back to ECICOG by December 15. The Regional Trails Advisory Committee (RTAC) meets in early January to review all new applications. The RTAC review is based on a pre-determined set of criteria, including project readiness, applicant’s ability to complete the project, the project’s relationship to the transportation system, the project’s associated benefits, benefit/cost and predicted usage. All applications are reviewed in pairs to determine project rankings and final scoring. The RTAC prepares a recommendation for the Policy Committee based on the rankings. The recommendation and copies of the full application are reviewed by the Policy Committee before they make a final determination for funding. </w:t>
      </w:r>
    </w:p>
    <w:p w14:paraId="0C35116B" w14:textId="77777777" w:rsidR="00A807C5" w:rsidRPr="002F7201" w:rsidRDefault="00A807C5" w:rsidP="00A807C5">
      <w:pPr>
        <w:pStyle w:val="Heading3"/>
      </w:pPr>
      <w:r w:rsidRPr="002F7201">
        <w:t>Pre-Application Workshop</w:t>
      </w:r>
    </w:p>
    <w:p w14:paraId="6AE9FA34" w14:textId="346ACCEC" w:rsidR="00A807C5" w:rsidRPr="008A695E" w:rsidRDefault="00A807C5" w:rsidP="00A807C5">
      <w:r>
        <w:t xml:space="preserve">For the past few years, the region has required potential applicants to attend a pre-application workshop. The workshop </w:t>
      </w:r>
      <w:proofErr w:type="gramStart"/>
      <w:r>
        <w:t>is  intended</w:t>
      </w:r>
      <w:proofErr w:type="gramEnd"/>
      <w:r>
        <w:t xml:space="preserve"> to ensure that all applicants understand the program and process prior to submittal of an application. </w:t>
      </w:r>
    </w:p>
    <w:p w14:paraId="30D695C1" w14:textId="77777777" w:rsidR="009164A9" w:rsidRDefault="009164A9"/>
    <w:sectPr w:rsidR="0091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5"/>
    <w:rsid w:val="001C70E1"/>
    <w:rsid w:val="009164A9"/>
    <w:rsid w:val="00A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C6E0"/>
  <w15:chartTrackingRefBased/>
  <w15:docId w15:val="{9CD96440-8DA9-4F76-B3A9-D7F7B0B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7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7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07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C3DADD52A5749B6619A0CAEB44792" ma:contentTypeVersion="16" ma:contentTypeDescription="Create a new document." ma:contentTypeScope="" ma:versionID="37ffc7870e813aeac597aac3e9ef24f1">
  <xsd:schema xmlns:xsd="http://www.w3.org/2001/XMLSchema" xmlns:xs="http://www.w3.org/2001/XMLSchema" xmlns:p="http://schemas.microsoft.com/office/2006/metadata/properties" xmlns:ns2="e120ff3c-9d97-4bd0-8365-9b2c835a8f8e" xmlns:ns3="da1a53be-b82f-44f3-b80f-e58ab2e6be26" targetNamespace="http://schemas.microsoft.com/office/2006/metadata/properties" ma:root="true" ma:fieldsID="3f8b1ddf872a18e153b1f635f5c795eb" ns2:_="" ns3:_="">
    <xsd:import namespace="e120ff3c-9d97-4bd0-8365-9b2c835a8f8e"/>
    <xsd:import namespace="da1a53be-b82f-44f3-b80f-e58ab2e6b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ff3c-9d97-4bd0-8365-9b2c835a8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53be-b82f-44f3-b80f-e58ab2e6b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7a7f17-8279-4bc2-a265-7b87fd31fd55}" ma:internalName="TaxCatchAll" ma:showField="CatchAllData" ma:web="da1a53be-b82f-44f3-b80f-e58ab2e6b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D3C57-DF64-49FB-908D-7CD4B4A6065A}"/>
</file>

<file path=customXml/itemProps2.xml><?xml version="1.0" encoding="utf-8"?>
<ds:datastoreItem xmlns:ds="http://schemas.openxmlformats.org/officeDocument/2006/customXml" ds:itemID="{C5ADB863-E840-4E6A-98EA-11360715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Rump</dc:creator>
  <cp:keywords/>
  <dc:description/>
  <cp:lastModifiedBy>Mary Rump</cp:lastModifiedBy>
  <cp:revision>2</cp:revision>
  <dcterms:created xsi:type="dcterms:W3CDTF">2022-06-21T19:53:00Z</dcterms:created>
  <dcterms:modified xsi:type="dcterms:W3CDTF">2022-06-21T19:54:00Z</dcterms:modified>
</cp:coreProperties>
</file>